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eastAsia="zh-CN"/>
        </w:rPr>
      </w:pPr>
      <w:bookmarkStart w:id="0" w:name="_GoBack"/>
      <w:bookmarkEnd w:id="0"/>
      <w:r>
        <w:rPr>
          <w:rFonts w:hint="eastAsia"/>
          <w:sz w:val="32"/>
          <w:szCs w:val="40"/>
          <w:lang w:eastAsia="zh-CN"/>
        </w:rPr>
        <w:t>陕西法士特齿轮有限责任公司温室气体排放报告</w:t>
      </w:r>
    </w:p>
    <w:p>
      <w:pPr>
        <w:rPr>
          <w:rFonts w:hint="eastAsia"/>
          <w:sz w:val="32"/>
          <w:szCs w:val="40"/>
          <w:lang w:eastAsia="zh-CN"/>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报告主体（盖章）：陕西法士特齿轮有限责任公司</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报告年度：</w:t>
      </w:r>
      <w:r>
        <w:rPr>
          <w:rFonts w:hint="eastAsia" w:asciiTheme="minorEastAsia" w:hAnsiTheme="minorEastAsia" w:eastAsiaTheme="minorEastAsia" w:cstheme="minorEastAsia"/>
          <w:sz w:val="24"/>
          <w:szCs w:val="24"/>
          <w:lang w:val="en-US" w:eastAsia="zh-CN"/>
        </w:rPr>
        <w:t>2017年</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编制日期：2018年3月</w:t>
      </w:r>
    </w:p>
    <w:p>
      <w:pPr>
        <w:spacing w:line="360" w:lineRule="auto"/>
        <w:ind w:firstLine="480" w:firstLineChars="2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本报告主体包含1个行业，其在2017年度温室气体排放总量为</w:t>
      </w:r>
      <w:r>
        <w:rPr>
          <w:rFonts w:hint="eastAsia" w:asciiTheme="minorEastAsia" w:hAnsiTheme="minorEastAsia" w:cstheme="minorEastAsia"/>
          <w:sz w:val="24"/>
          <w:szCs w:val="24"/>
          <w:lang w:val="en-US" w:eastAsia="zh-CN"/>
        </w:rPr>
        <w:t>106602.84</w:t>
      </w:r>
      <w:r>
        <w:rPr>
          <w:rFonts w:hint="eastAsia" w:asciiTheme="minorEastAsia" w:hAnsiTheme="minorEastAsia" w:eastAsiaTheme="minorEastAsia" w:cstheme="minorEastAsia"/>
          <w:sz w:val="24"/>
          <w:szCs w:val="24"/>
          <w:lang w:val="en-US" w:eastAsia="zh-CN"/>
        </w:rPr>
        <w:t>吨CO</w:t>
      </w:r>
      <w:r>
        <w:rPr>
          <w:rFonts w:hint="eastAsia" w:asciiTheme="minorEastAsia" w:hAnsiTheme="minorEastAsia" w:eastAsiaTheme="minorEastAsia" w:cstheme="minorEastAsia"/>
          <w:sz w:val="24"/>
          <w:szCs w:val="24"/>
          <w:vertAlign w:val="subscript"/>
          <w:lang w:val="en-US" w:eastAsia="zh-CN"/>
        </w:rPr>
        <w:t>2</w:t>
      </w:r>
      <w:r>
        <w:rPr>
          <w:rFonts w:hint="eastAsia" w:asciiTheme="minorEastAsia" w:hAnsiTheme="minorEastAsia" w:eastAsiaTheme="minorEastAsia" w:cstheme="minorEastAsia"/>
          <w:sz w:val="24"/>
          <w:szCs w:val="24"/>
          <w:vertAlign w:val="baseline"/>
          <w:lang w:val="en-US" w:eastAsia="zh-CN"/>
        </w:rPr>
        <w:t>当量，根据国家发展和改革委员会发布的《机械设备制造温室气体排放核算方法与报告指南》，核算了燃料燃烧排放和净购入的电力和热力产生的</w:t>
      </w:r>
      <w:r>
        <w:rPr>
          <w:rFonts w:hint="eastAsia" w:asciiTheme="minorEastAsia" w:hAnsiTheme="minorEastAsia" w:eastAsiaTheme="minorEastAsia" w:cstheme="minorEastAsia"/>
          <w:sz w:val="24"/>
          <w:szCs w:val="24"/>
          <w:lang w:val="en-US" w:eastAsia="zh-CN"/>
        </w:rPr>
        <w:t>CO</w:t>
      </w:r>
      <w:r>
        <w:rPr>
          <w:rFonts w:hint="eastAsia" w:asciiTheme="minorEastAsia" w:hAnsiTheme="minorEastAsia" w:eastAsiaTheme="minorEastAsia" w:cstheme="minorEastAsia"/>
          <w:sz w:val="24"/>
          <w:szCs w:val="24"/>
          <w:vertAlign w:val="subscript"/>
          <w:lang w:val="en-US" w:eastAsia="zh-CN"/>
        </w:rPr>
        <w:t>2</w:t>
      </w:r>
      <w:r>
        <w:rPr>
          <w:rFonts w:hint="eastAsia" w:asciiTheme="minorEastAsia" w:hAnsiTheme="minorEastAsia" w:eastAsiaTheme="minorEastAsia" w:cstheme="minorEastAsia"/>
          <w:sz w:val="24"/>
          <w:szCs w:val="24"/>
          <w:vertAlign w:val="baseline"/>
          <w:lang w:val="en-US" w:eastAsia="zh-CN"/>
        </w:rPr>
        <w:t>排放，并填写了相关数据表格。现将有关情况报告如下：</w:t>
      </w:r>
    </w:p>
    <w:p>
      <w:pPr>
        <w:numPr>
          <w:ilvl w:val="0"/>
          <w:numId w:val="1"/>
        </w:numPr>
        <w:spacing w:line="360" w:lineRule="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企业基本情况</w:t>
      </w:r>
    </w:p>
    <w:tbl>
      <w:tblPr>
        <w:tblStyle w:val="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640"/>
        <w:gridCol w:w="1665"/>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报告主体名称</w:t>
            </w:r>
          </w:p>
        </w:tc>
        <w:tc>
          <w:tcPr>
            <w:tcW w:w="5936" w:type="dxa"/>
            <w:gridSpan w:val="3"/>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eastAsia="zh-CN"/>
              </w:rPr>
              <w:t>陕西法士特齿轮有限责任公司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单位性质</w:t>
            </w:r>
          </w:p>
        </w:tc>
        <w:tc>
          <w:tcPr>
            <w:tcW w:w="2640"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国有企业</w:t>
            </w:r>
          </w:p>
        </w:tc>
        <w:tc>
          <w:tcPr>
            <w:tcW w:w="166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报告年度</w:t>
            </w:r>
          </w:p>
        </w:tc>
        <w:tc>
          <w:tcPr>
            <w:tcW w:w="1631"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所属行业</w:t>
            </w:r>
          </w:p>
        </w:tc>
        <w:tc>
          <w:tcPr>
            <w:tcW w:w="2640"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0"/>
                <w:szCs w:val="20"/>
                <w:vertAlign w:val="baseline"/>
                <w:lang w:val="en-US" w:eastAsia="zh-CN"/>
              </w:rPr>
              <w:t>汽车零部件及其配件制造业</w:t>
            </w:r>
          </w:p>
        </w:tc>
        <w:tc>
          <w:tcPr>
            <w:tcW w:w="166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组织机构代码</w:t>
            </w:r>
          </w:p>
        </w:tc>
        <w:tc>
          <w:tcPr>
            <w:tcW w:w="1631"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73043118-7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法定代表人</w:t>
            </w:r>
          </w:p>
        </w:tc>
        <w:tc>
          <w:tcPr>
            <w:tcW w:w="5936" w:type="dxa"/>
            <w:gridSpan w:val="3"/>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谭旭光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详细地址</w:t>
            </w:r>
          </w:p>
        </w:tc>
        <w:tc>
          <w:tcPr>
            <w:tcW w:w="5936" w:type="dxa"/>
            <w:gridSpan w:val="3"/>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陕西省西安市莲湖区大庆路809号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管理负责人</w:t>
            </w:r>
            <w:r>
              <w:rPr>
                <w:rFonts w:hint="eastAsia" w:asciiTheme="minorEastAsia" w:hAnsiTheme="minorEastAsia" w:cstheme="minorEastAsia"/>
                <w:sz w:val="24"/>
                <w:szCs w:val="24"/>
                <w:vertAlign w:val="baseline"/>
                <w:lang w:val="en-US" w:eastAsia="zh-CN"/>
              </w:rPr>
              <w:t>及联系方式</w:t>
            </w:r>
          </w:p>
        </w:tc>
        <w:tc>
          <w:tcPr>
            <w:tcW w:w="5936" w:type="dxa"/>
            <w:gridSpan w:val="3"/>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齐永智/029-89567022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联系人</w:t>
            </w:r>
            <w:r>
              <w:rPr>
                <w:rFonts w:hint="eastAsia" w:asciiTheme="minorEastAsia" w:hAnsiTheme="minorEastAsia" w:cstheme="minorEastAsia"/>
                <w:sz w:val="24"/>
                <w:szCs w:val="24"/>
                <w:vertAlign w:val="baseline"/>
                <w:lang w:val="en-US" w:eastAsia="zh-CN"/>
              </w:rPr>
              <w:t>及联系方式</w:t>
            </w:r>
          </w:p>
        </w:tc>
        <w:tc>
          <w:tcPr>
            <w:tcW w:w="5936" w:type="dxa"/>
            <w:gridSpan w:val="3"/>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赵晓燕/029-84630407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8" w:type="dxa"/>
            <w:gridSpan w:val="4"/>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报告主体边界说明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8" w:type="dxa"/>
            <w:gridSpan w:val="4"/>
          </w:tcPr>
          <w:p>
            <w:pPr>
              <w:spacing w:line="460" w:lineRule="exact"/>
              <w:ind w:firstLine="480" w:firstLineChars="200"/>
              <w:rPr>
                <w:rFonts w:ascii="宋体" w:hAnsi="宋体"/>
                <w:sz w:val="24"/>
              </w:rPr>
            </w:pPr>
            <w:r>
              <w:rPr>
                <w:rFonts w:hint="eastAsia" w:ascii="宋体" w:hAnsi="宋体"/>
                <w:sz w:val="24"/>
              </w:rPr>
              <w:t>陕西法士特齿轮有限责任公司是由潍柴动力投资股份有限公司和陕西汽车齿轮总厂于2001年9月共同投资组建的高新技术企业。</w:t>
            </w:r>
            <w:r>
              <w:rPr>
                <w:rFonts w:hint="eastAsia" w:ascii="宋体" w:hAnsi="宋体"/>
                <w:sz w:val="24"/>
                <w:lang w:eastAsia="zh-CN"/>
              </w:rPr>
              <w:t>公司位于西安市莲湖区大庆路</w:t>
            </w:r>
            <w:r>
              <w:rPr>
                <w:rFonts w:hint="eastAsia" w:ascii="宋体" w:hAnsi="宋体"/>
                <w:sz w:val="24"/>
                <w:lang w:val="en-US" w:eastAsia="zh-CN"/>
              </w:rPr>
              <w:t>809号。</w:t>
            </w:r>
            <w:r>
              <w:rPr>
                <w:rFonts w:hint="eastAsia" w:ascii="宋体" w:hAnsi="宋体"/>
                <w:sz w:val="24"/>
                <w:lang w:eastAsia="zh-CN"/>
              </w:rPr>
              <w:t>其</w:t>
            </w:r>
            <w:r>
              <w:rPr>
                <w:rFonts w:hint="eastAsia" w:ascii="宋体" w:hAnsi="宋体"/>
                <w:sz w:val="24"/>
              </w:rPr>
              <w:t>主导产品有：引进世界先进技术生产的双中间轴系列变速器和自主研制生产的多种系列变速器；与以上产品相配套的系列取力器、分动器；OEM配套齿轮等出口件和各种国产、进口汽车齿轮锻件、汽车配件等</w:t>
            </w:r>
            <w:r>
              <w:rPr>
                <w:rFonts w:hint="eastAsia" w:ascii="宋体" w:hAnsi="宋体"/>
                <w:sz w:val="24"/>
                <w:lang w:eastAsia="zh-CN"/>
              </w:rPr>
              <w:t>。</w:t>
            </w:r>
          </w:p>
          <w:p>
            <w:pPr>
              <w:spacing w:line="360" w:lineRule="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8" w:type="dxa"/>
            <w:gridSpan w:val="4"/>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产能变化情况说明（与上年度相比）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8" w:type="dxa"/>
            <w:gridSpan w:val="4"/>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2017年生产重型变速器17.4万台，较2016年生产变速器11.1万台增长约56%。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8" w:type="dxa"/>
            <w:gridSpan w:val="4"/>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主要工艺流程说明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8" w:type="dxa"/>
            <w:gridSpan w:val="4"/>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drawing>
                <wp:inline distT="0" distB="0" distL="114300" distR="114300">
                  <wp:extent cx="3477260" cy="2273935"/>
                  <wp:effectExtent l="0" t="0" r="8890" b="12065"/>
                  <wp:docPr id="1" name="图片 1"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艺流程图"/>
                          <pic:cNvPicPr>
                            <a:picLocks noChangeAspect="1"/>
                          </pic:cNvPicPr>
                        </pic:nvPicPr>
                        <pic:blipFill>
                          <a:blip r:embed="rId4"/>
                          <a:stretch>
                            <a:fillRect/>
                          </a:stretch>
                        </pic:blipFill>
                        <pic:spPr>
                          <a:xfrm>
                            <a:off x="0" y="0"/>
                            <a:ext cx="3477260" cy="2273935"/>
                          </a:xfrm>
                          <a:prstGeom prst="rect">
                            <a:avLst/>
                          </a:prstGeom>
                        </pic:spPr>
                      </pic:pic>
                    </a:graphicData>
                  </a:graphic>
                </wp:inline>
              </w:drawing>
            </w:r>
          </w:p>
        </w:tc>
      </w:tr>
    </w:tbl>
    <w:p>
      <w:pPr>
        <w:numPr>
          <w:ilvl w:val="0"/>
          <w:numId w:val="1"/>
        </w:numPr>
        <w:spacing w:line="360" w:lineRule="auto"/>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温室气体排放</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报告主体在2017年度温室气体排放总量为</w:t>
      </w:r>
      <w:r>
        <w:rPr>
          <w:rFonts w:hint="eastAsia" w:asciiTheme="minorEastAsia" w:hAnsiTheme="minorEastAsia" w:cstheme="minorEastAsia"/>
          <w:sz w:val="24"/>
          <w:szCs w:val="24"/>
          <w:lang w:val="en-US" w:eastAsia="zh-CN"/>
        </w:rPr>
        <w:t>106602.84</w:t>
      </w:r>
      <w:r>
        <w:rPr>
          <w:rFonts w:hint="eastAsia" w:asciiTheme="minorEastAsia" w:hAnsiTheme="minorEastAsia" w:eastAsiaTheme="minorEastAsia" w:cstheme="minorEastAsia"/>
          <w:sz w:val="24"/>
          <w:szCs w:val="24"/>
          <w:lang w:val="en-US" w:eastAsia="zh-CN"/>
        </w:rPr>
        <w:t>吨CO</w:t>
      </w:r>
      <w:r>
        <w:rPr>
          <w:rFonts w:hint="eastAsia" w:asciiTheme="minorEastAsia" w:hAnsiTheme="minorEastAsia" w:eastAsiaTheme="minorEastAsia" w:cstheme="minorEastAsia"/>
          <w:sz w:val="24"/>
          <w:szCs w:val="24"/>
          <w:vertAlign w:val="subscript"/>
          <w:lang w:val="en-US" w:eastAsia="zh-CN"/>
        </w:rPr>
        <w:t>2</w:t>
      </w:r>
      <w:r>
        <w:rPr>
          <w:rFonts w:hint="eastAsia" w:asciiTheme="minorEastAsia" w:hAnsiTheme="minorEastAsia" w:eastAsiaTheme="minorEastAsia" w:cstheme="minorEastAsia"/>
          <w:sz w:val="24"/>
          <w:szCs w:val="24"/>
          <w:vertAlign w:val="baseline"/>
          <w:lang w:val="en-US" w:eastAsia="zh-CN"/>
        </w:rPr>
        <w:t>当量。其中，化石燃料燃烧排放量为</w:t>
      </w:r>
      <w:r>
        <w:rPr>
          <w:rFonts w:hint="eastAsia" w:asciiTheme="minorEastAsia" w:hAnsiTheme="minorEastAsia" w:cstheme="minorEastAsia"/>
          <w:sz w:val="24"/>
          <w:szCs w:val="24"/>
          <w:vertAlign w:val="baseline"/>
          <w:lang w:val="en-US" w:eastAsia="zh-CN"/>
        </w:rPr>
        <w:t>73734.72</w:t>
      </w:r>
      <w:r>
        <w:rPr>
          <w:rFonts w:hint="eastAsia" w:asciiTheme="minorEastAsia" w:hAnsiTheme="minorEastAsia" w:eastAsiaTheme="minorEastAsia" w:cstheme="minorEastAsia"/>
          <w:sz w:val="24"/>
          <w:szCs w:val="24"/>
          <w:vertAlign w:val="baseline"/>
          <w:lang w:val="en-US" w:eastAsia="zh-CN"/>
        </w:rPr>
        <w:t>吨</w:t>
      </w:r>
      <w:r>
        <w:rPr>
          <w:rFonts w:hint="eastAsia" w:asciiTheme="minorEastAsia" w:hAnsiTheme="minorEastAsia" w:eastAsiaTheme="minorEastAsia" w:cstheme="minorEastAsia"/>
          <w:sz w:val="24"/>
          <w:szCs w:val="24"/>
          <w:lang w:val="en-US" w:eastAsia="zh-CN"/>
        </w:rPr>
        <w:t>CO</w:t>
      </w:r>
      <w:r>
        <w:rPr>
          <w:rFonts w:hint="eastAsia" w:asciiTheme="minorEastAsia" w:hAnsiTheme="minorEastAsia" w:eastAsiaTheme="minorEastAsia" w:cstheme="minorEastAsia"/>
          <w:sz w:val="24"/>
          <w:szCs w:val="24"/>
          <w:vertAlign w:val="subscript"/>
          <w:lang w:val="en-US" w:eastAsia="zh-CN"/>
        </w:rPr>
        <w:t>2</w:t>
      </w: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净购入使用电力产生的排放量为</w:t>
      </w:r>
      <w:r>
        <w:rPr>
          <w:rFonts w:hint="eastAsia" w:asciiTheme="minorEastAsia" w:hAnsiTheme="minorEastAsia" w:cstheme="minorEastAsia"/>
          <w:sz w:val="24"/>
          <w:szCs w:val="24"/>
          <w:vertAlign w:val="baseline"/>
          <w:lang w:val="en-US" w:eastAsia="zh-CN"/>
        </w:rPr>
        <w:t>32868.12</w:t>
      </w:r>
      <w:r>
        <w:rPr>
          <w:rFonts w:hint="eastAsia" w:asciiTheme="minorEastAsia" w:hAnsiTheme="minorEastAsia" w:eastAsiaTheme="minorEastAsia" w:cstheme="minorEastAsia"/>
          <w:sz w:val="24"/>
          <w:szCs w:val="24"/>
          <w:vertAlign w:val="baseline"/>
          <w:lang w:val="en-US" w:eastAsia="zh-CN"/>
        </w:rPr>
        <w:t>吨</w:t>
      </w:r>
      <w:r>
        <w:rPr>
          <w:rFonts w:hint="eastAsia" w:asciiTheme="minorEastAsia" w:hAnsiTheme="minorEastAsia" w:eastAsiaTheme="minorEastAsia" w:cstheme="minorEastAsia"/>
          <w:sz w:val="24"/>
          <w:szCs w:val="24"/>
          <w:lang w:val="en-US" w:eastAsia="zh-CN"/>
        </w:rPr>
        <w:t>CO</w:t>
      </w:r>
      <w:r>
        <w:rPr>
          <w:rFonts w:hint="eastAsia" w:asciiTheme="minorEastAsia" w:hAnsiTheme="minorEastAsia" w:eastAsiaTheme="minorEastAsia" w:cstheme="minorEastAsia"/>
          <w:sz w:val="24"/>
          <w:szCs w:val="24"/>
          <w:vertAlign w:val="subscript"/>
          <w:lang w:val="en-US" w:eastAsia="zh-CN"/>
        </w:rPr>
        <w:t>2</w:t>
      </w:r>
      <w:r>
        <w:rPr>
          <w:rFonts w:hint="eastAsia" w:asciiTheme="minorEastAsia" w:hAnsiTheme="minorEastAsia" w:eastAsiaTheme="minorEastAsia" w:cstheme="minorEastAsia"/>
          <w:sz w:val="24"/>
          <w:szCs w:val="24"/>
          <w:vertAlign w:val="baseline"/>
          <w:lang w:val="en-US" w:eastAsia="zh-CN"/>
        </w:rPr>
        <w:t>。</w:t>
      </w:r>
    </w:p>
    <w:p>
      <w:pPr>
        <w:numPr>
          <w:ilvl w:val="0"/>
          <w:numId w:val="1"/>
        </w:numPr>
        <w:spacing w:line="360" w:lineRule="auto"/>
        <w:ind w:left="0" w:leftChars="0" w:firstLine="0" w:firstLineChars="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活动水平数据及来源说明</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陕西法士特齿轮有限责任公司在</w:t>
      </w:r>
      <w:r>
        <w:rPr>
          <w:rFonts w:hint="eastAsia" w:asciiTheme="minorEastAsia" w:hAnsiTheme="minorEastAsia" w:eastAsiaTheme="minorEastAsia" w:cstheme="minorEastAsia"/>
          <w:sz w:val="24"/>
          <w:szCs w:val="24"/>
          <w:lang w:val="en-US" w:eastAsia="zh-CN"/>
        </w:rPr>
        <w:t>2017年度化石燃料天然气净消耗量</w:t>
      </w:r>
      <w:r>
        <w:rPr>
          <w:rFonts w:hint="eastAsia" w:asciiTheme="minorEastAsia" w:hAnsiTheme="minorEastAsia" w:cstheme="minorEastAsia"/>
          <w:sz w:val="24"/>
          <w:szCs w:val="24"/>
          <w:lang w:val="en-US" w:eastAsia="zh-CN"/>
        </w:rPr>
        <w:t>2841824m</w:t>
      </w:r>
      <w:r>
        <w:rPr>
          <w:rFonts w:hint="eastAsia" w:asciiTheme="minorEastAsia" w:hAnsi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lang w:val="en-US" w:eastAsia="zh-CN"/>
        </w:rPr>
        <w:t>。化石燃料购入量采用入库单结算凭证上的数据。化石燃料的低位发热量均采用《</w:t>
      </w:r>
      <w:r>
        <w:rPr>
          <w:rFonts w:hint="eastAsia" w:asciiTheme="minorEastAsia" w:hAnsiTheme="minorEastAsia" w:eastAsiaTheme="minorEastAsia" w:cstheme="minorEastAsia"/>
          <w:sz w:val="24"/>
          <w:szCs w:val="24"/>
          <w:vertAlign w:val="baseline"/>
          <w:lang w:val="en-US" w:eastAsia="zh-CN"/>
        </w:rPr>
        <w:t>机械设备制造温室气体排放核算方法与报告指南</w:t>
      </w:r>
      <w:r>
        <w:rPr>
          <w:rFonts w:hint="eastAsia" w:asciiTheme="minorEastAsia" w:hAnsiTheme="minorEastAsia" w:eastAsiaTheme="minorEastAsia" w:cstheme="minorEastAsia"/>
          <w:sz w:val="24"/>
          <w:szCs w:val="24"/>
          <w:lang w:val="en-US" w:eastAsia="zh-CN"/>
        </w:rPr>
        <w:t>》提供的化石燃料的低位发热量</w:t>
      </w:r>
      <w:r>
        <w:rPr>
          <w:rFonts w:hint="eastAsia" w:asciiTheme="minorEastAsia" w:hAnsiTheme="minorEastAsia" w:cstheme="minorEastAsia"/>
          <w:sz w:val="24"/>
          <w:szCs w:val="24"/>
          <w:lang w:val="en-US" w:eastAsia="zh-CN"/>
        </w:rPr>
        <w:t>推荐</w:t>
      </w:r>
      <w:r>
        <w:rPr>
          <w:rFonts w:hint="eastAsia" w:asciiTheme="minorEastAsia" w:hAnsiTheme="minorEastAsia" w:eastAsiaTheme="minorEastAsia" w:cstheme="minorEastAsia"/>
          <w:sz w:val="24"/>
          <w:szCs w:val="24"/>
          <w:lang w:val="en-US" w:eastAsia="zh-CN"/>
        </w:rPr>
        <w:t>值。净购入电力</w:t>
      </w:r>
      <w:r>
        <w:rPr>
          <w:rFonts w:hint="eastAsia" w:asciiTheme="minorEastAsia" w:hAnsiTheme="minorEastAsia" w:cstheme="minorEastAsia"/>
          <w:sz w:val="24"/>
          <w:szCs w:val="24"/>
          <w:lang w:val="en-US" w:eastAsia="zh-CN"/>
        </w:rPr>
        <w:t>34316.3M</w:t>
      </w:r>
      <w:r>
        <w:rPr>
          <w:rFonts w:hint="eastAsia" w:asciiTheme="minorEastAsia" w:hAnsiTheme="minorEastAsia" w:eastAsiaTheme="minorEastAsia" w:cstheme="minorEastAsia"/>
          <w:sz w:val="24"/>
          <w:szCs w:val="24"/>
          <w:lang w:val="en-US" w:eastAsia="zh-CN"/>
        </w:rPr>
        <w:t>Wh，电力使用量数据来源自电力公司购销发票数据。</w:t>
      </w:r>
    </w:p>
    <w:p>
      <w:pPr>
        <w:numPr>
          <w:ilvl w:val="0"/>
          <w:numId w:val="1"/>
        </w:numPr>
        <w:spacing w:line="360" w:lineRule="auto"/>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排放因子数据及来源说明</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陕西法士特齿轮有限责任公司在</w:t>
      </w:r>
      <w:r>
        <w:rPr>
          <w:rFonts w:hint="eastAsia" w:asciiTheme="minorEastAsia" w:hAnsiTheme="minorEastAsia" w:eastAsiaTheme="minorEastAsia" w:cstheme="minorEastAsia"/>
          <w:sz w:val="24"/>
          <w:szCs w:val="24"/>
          <w:lang w:val="en-US" w:eastAsia="zh-CN"/>
        </w:rPr>
        <w:t>2017年度消耗的天然气单位热值含碳量和碳氧化率数据：</w:t>
      </w:r>
      <w:r>
        <w:rPr>
          <w:rFonts w:hint="eastAsia" w:asciiTheme="minorEastAsia" w:hAnsiTheme="minorEastAsia" w:cstheme="minorEastAsia"/>
          <w:sz w:val="24"/>
          <w:szCs w:val="24"/>
          <w:lang w:val="en-US" w:eastAsia="zh-CN"/>
        </w:rPr>
        <w:t>单位热值含碳量15.3</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vertAlign w:val="superscript"/>
          <w:lang w:val="en-US" w:eastAsia="zh-CN"/>
        </w:rPr>
        <w:t>-3</w:t>
      </w:r>
      <w:r>
        <w:rPr>
          <w:rFonts w:hint="eastAsia" w:asciiTheme="minorEastAsia" w:hAnsiTheme="minorEastAsia" w:cstheme="minorEastAsia"/>
          <w:sz w:val="24"/>
          <w:szCs w:val="24"/>
          <w:vertAlign w:val="baseline"/>
          <w:lang w:val="en-US" w:eastAsia="zh-CN"/>
        </w:rPr>
        <w:t>tC/GJ，碳氧化率99%；</w:t>
      </w:r>
    </w:p>
    <w:p>
      <w:pPr>
        <w:numPr>
          <w:ilvl w:val="0"/>
          <w:numId w:val="1"/>
        </w:numPr>
        <w:spacing w:line="360" w:lineRule="auto"/>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其它希望说明的情况</w:t>
      </w:r>
    </w:p>
    <w:p>
      <w:pPr>
        <w:numPr>
          <w:ilvl w:val="0"/>
          <w:numId w:val="0"/>
        </w:numPr>
        <w:spacing w:line="360" w:lineRule="auto"/>
        <w:ind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报告真实、可靠，如报告中的信息与实际情况不符，本企业将承担相应的法律责任。</w:t>
      </w:r>
    </w:p>
    <w:p>
      <w:pPr>
        <w:numPr>
          <w:ilvl w:val="0"/>
          <w:numId w:val="0"/>
        </w:numPr>
        <w:spacing w:line="360" w:lineRule="auto"/>
        <w:ind w:leftChars="0"/>
        <w:rPr>
          <w:rFonts w:hint="eastAsia" w:asciiTheme="minorEastAsia" w:hAnsiTheme="minorEastAsia" w:eastAsiaTheme="minorEastAsia" w:cstheme="minorEastAsia"/>
          <w:sz w:val="24"/>
          <w:szCs w:val="24"/>
          <w:lang w:val="en-US" w:eastAsia="zh-CN"/>
        </w:rPr>
      </w:pPr>
    </w:p>
    <w:p>
      <w:pPr>
        <w:numPr>
          <w:ilvl w:val="0"/>
          <w:numId w:val="0"/>
        </w:numPr>
        <w:spacing w:line="360" w:lineRule="auto"/>
        <w:ind w:leftChars="0"/>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95ECA"/>
    <w:multiLevelType w:val="singleLevel"/>
    <w:tmpl w:val="63495E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6828"/>
    <w:rsid w:val="03677355"/>
    <w:rsid w:val="06563E6E"/>
    <w:rsid w:val="18123B26"/>
    <w:rsid w:val="1BF2036E"/>
    <w:rsid w:val="1C2E3C32"/>
    <w:rsid w:val="1E5B7661"/>
    <w:rsid w:val="284B5CCA"/>
    <w:rsid w:val="2A9C13D7"/>
    <w:rsid w:val="2CA1760C"/>
    <w:rsid w:val="2F2D7DF5"/>
    <w:rsid w:val="31CB51DF"/>
    <w:rsid w:val="383E37F6"/>
    <w:rsid w:val="3ABD702C"/>
    <w:rsid w:val="3B782B1D"/>
    <w:rsid w:val="3DD53EE4"/>
    <w:rsid w:val="43D92A41"/>
    <w:rsid w:val="48544FE0"/>
    <w:rsid w:val="4A794455"/>
    <w:rsid w:val="50910BF6"/>
    <w:rsid w:val="594E2902"/>
    <w:rsid w:val="5DB8104F"/>
    <w:rsid w:val="643C3806"/>
    <w:rsid w:val="69576114"/>
    <w:rsid w:val="6B243960"/>
    <w:rsid w:val="6D861F42"/>
    <w:rsid w:val="76695258"/>
    <w:rsid w:val="7CB4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wxw</cp:lastModifiedBy>
  <dcterms:modified xsi:type="dcterms:W3CDTF">2023-12-23T13:40:33Z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40882EBCFDF94EB991DD34D30B84DBAD_13</vt:lpwstr>
  </property>
</Properties>
</file>